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0B10" w14:textId="32F28225" w:rsidR="0037299A" w:rsidRDefault="006A24E1">
      <w:r>
        <w:rPr>
          <w:noProof/>
        </w:rPr>
        <mc:AlternateContent>
          <mc:Choice Requires="wps">
            <w:drawing>
              <wp:anchor distT="0" distB="0" distL="114300" distR="114300" simplePos="0" relativeHeight="251662336" behindDoc="0" locked="0" layoutInCell="1" allowOverlap="1" wp14:anchorId="23084CEF" wp14:editId="2EE10106">
                <wp:simplePos x="0" y="0"/>
                <wp:positionH relativeFrom="column">
                  <wp:posOffset>-462987</wp:posOffset>
                </wp:positionH>
                <wp:positionV relativeFrom="paragraph">
                  <wp:posOffset>670496</wp:posOffset>
                </wp:positionV>
                <wp:extent cx="7014258" cy="803283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14258" cy="8032830"/>
                        </a:xfrm>
                        <a:prstGeom prst="rect">
                          <a:avLst/>
                        </a:prstGeom>
                        <a:noFill/>
                        <a:ln w="6350">
                          <a:noFill/>
                        </a:ln>
                      </wps:spPr>
                      <wps:txbx>
                        <w:txbxContent>
                          <w:p w14:paraId="68567000" w14:textId="77777777" w:rsidR="006A24E1" w:rsidRDefault="006A24E1" w:rsidP="006A24E1">
                            <w:pPr>
                              <w:jc w:val="right"/>
                              <w:rPr>
                                <w:rFonts w:ascii="IBM Plex Sans" w:eastAsia="Times New Roman" w:hAnsi="IBM Plex Sans" w:cs="Times New Roman"/>
                                <w:color w:val="404040" w:themeColor="text1" w:themeTint="BF"/>
                                <w:sz w:val="22"/>
                                <w:szCs w:val="22"/>
                              </w:rPr>
                            </w:pPr>
                            <w:r>
                              <w:rPr>
                                <w:rFonts w:ascii="IBM Plex Sans" w:eastAsia="Times New Roman" w:hAnsi="IBM Plex Sans" w:cs="Times New Roman"/>
                                <w:color w:val="404040" w:themeColor="text1" w:themeTint="BF"/>
                                <w:sz w:val="22"/>
                                <w:szCs w:val="22"/>
                              </w:rPr>
                              <w:t>May 20, 2020</w:t>
                            </w:r>
                          </w:p>
                          <w:p w14:paraId="5713B080" w14:textId="77777777" w:rsidR="006A24E1" w:rsidRDefault="006A24E1" w:rsidP="006A24E1">
                            <w:pPr>
                              <w:jc w:val="right"/>
                              <w:rPr>
                                <w:rFonts w:ascii="IBM Plex Sans" w:eastAsia="Times New Roman" w:hAnsi="IBM Plex Sans" w:cs="Times New Roman"/>
                                <w:color w:val="404040" w:themeColor="text1" w:themeTint="BF"/>
                                <w:sz w:val="22"/>
                                <w:szCs w:val="22"/>
                              </w:rPr>
                            </w:pPr>
                          </w:p>
                          <w:p w14:paraId="29670C0C" w14:textId="77777777" w:rsidR="006A24E1" w:rsidRPr="006A24E1" w:rsidRDefault="006A24E1" w:rsidP="006A24E1">
                            <w:pPr>
                              <w:rPr>
                                <w:rFonts w:ascii="IBM Plex Sans" w:eastAsia="Times New Roman" w:hAnsi="IBM Plex Sans" w:cs="Times New Roman"/>
                                <w:color w:val="3B3838" w:themeColor="background2" w:themeShade="40"/>
                                <w:sz w:val="22"/>
                                <w:szCs w:val="22"/>
                              </w:rPr>
                            </w:pPr>
                            <w:r w:rsidRPr="006A24E1">
                              <w:rPr>
                                <w:rFonts w:ascii="IBM Plex Sans" w:eastAsia="Times New Roman" w:hAnsi="IBM Plex Sans" w:cs="Times New Roman"/>
                                <w:color w:val="3B3838" w:themeColor="background2" w:themeShade="40"/>
                                <w:sz w:val="22"/>
                                <w:szCs w:val="22"/>
                              </w:rPr>
                              <w:t xml:space="preserve">All Manufacturing facilities must adopt a written procedure that is at least as strict as the Phase 2 </w:t>
                            </w:r>
                            <w:hyperlink r:id="rId6" w:history="1">
                              <w:r w:rsidRPr="006A24E1">
                                <w:rPr>
                                  <w:rStyle w:val="Hyperlink"/>
                                  <w:rFonts w:ascii="IBM Plex Sans" w:eastAsia="Times New Roman" w:hAnsi="IBM Plex Sans" w:cs="Times New Roman"/>
                                  <w:color w:val="346F87"/>
                                  <w:sz w:val="22"/>
                                  <w:szCs w:val="22"/>
                                </w:rPr>
                                <w:t>Safety a</w:t>
                              </w:r>
                              <w:bookmarkStart w:id="0" w:name="_GoBack"/>
                              <w:bookmarkEnd w:id="0"/>
                              <w:r w:rsidRPr="006A24E1">
                                <w:rPr>
                                  <w:rStyle w:val="Hyperlink"/>
                                  <w:rFonts w:ascii="IBM Plex Sans" w:eastAsia="Times New Roman" w:hAnsi="IBM Plex Sans" w:cs="Times New Roman"/>
                                  <w:color w:val="346F87"/>
                                  <w:sz w:val="22"/>
                                  <w:szCs w:val="22"/>
                                </w:rPr>
                                <w:t>nd Health Requirements</w:t>
                              </w:r>
                            </w:hyperlink>
                            <w:r w:rsidRPr="006A24E1">
                              <w:rPr>
                                <w:rFonts w:ascii="IBM Plex Sans" w:eastAsia="Times New Roman" w:hAnsi="IBM Plex Sans" w:cs="Times New Roman"/>
                                <w:color w:val="346F87"/>
                                <w:sz w:val="22"/>
                                <w:szCs w:val="22"/>
                              </w:rPr>
                              <w:t xml:space="preserve"> </w:t>
                            </w:r>
                            <w:r w:rsidRPr="006A24E1">
                              <w:rPr>
                                <w:rFonts w:ascii="IBM Plex Sans" w:eastAsia="Times New Roman" w:hAnsi="IBM Plex Sans" w:cs="Times New Roman"/>
                                <w:color w:val="3B3838" w:themeColor="background2" w:themeShade="40"/>
                                <w:sz w:val="22"/>
                                <w:szCs w:val="22"/>
                              </w:rPr>
                              <w:t xml:space="preserve">issued by Governor Inslee on May 12, 2020. </w:t>
                            </w:r>
                          </w:p>
                          <w:p w14:paraId="7145F143" w14:textId="77777777" w:rsidR="006A24E1" w:rsidRPr="006A24E1" w:rsidRDefault="006A24E1" w:rsidP="006A24E1">
                            <w:pPr>
                              <w:rPr>
                                <w:rFonts w:ascii="IBM Plex Sans" w:eastAsia="Times New Roman" w:hAnsi="IBM Plex Sans" w:cs="Times New Roman"/>
                                <w:b/>
                                <w:bCs/>
                                <w:color w:val="3B3838" w:themeColor="background2" w:themeShade="40"/>
                                <w:sz w:val="22"/>
                                <w:szCs w:val="22"/>
                              </w:rPr>
                            </w:pPr>
                          </w:p>
                          <w:p w14:paraId="23458D6E" w14:textId="77777777" w:rsidR="006A24E1" w:rsidRPr="006A24E1" w:rsidRDefault="006A24E1" w:rsidP="006A24E1">
                            <w:pPr>
                              <w:rPr>
                                <w:rFonts w:ascii="IBM Plex Sans" w:eastAsia="Times New Roman" w:hAnsi="IBM Plex Sans" w:cs="Times New Roman"/>
                                <w:color w:val="3B3838" w:themeColor="background2" w:themeShade="40"/>
                                <w:sz w:val="22"/>
                                <w:szCs w:val="22"/>
                              </w:rPr>
                            </w:pPr>
                            <w:r w:rsidRPr="006A24E1">
                              <w:rPr>
                                <w:rFonts w:ascii="IBM Plex Sans" w:eastAsia="Times New Roman" w:hAnsi="IBM Plex Sans" w:cs="Arial"/>
                                <w:color w:val="3B3838" w:themeColor="background2" w:themeShade="40"/>
                                <w:sz w:val="22"/>
                                <w:szCs w:val="22"/>
                              </w:rPr>
                              <w:t>Previously authorized manufacturing operations must implement all requirements under Phase 2, Manufacturing Facility COVID-19 Requirements by May 27, 2020, or may operate under a separately approved plan by the Department of Labor and Industries</w:t>
                            </w:r>
                          </w:p>
                          <w:p w14:paraId="3E4F72A1" w14:textId="77777777" w:rsidR="006A24E1" w:rsidRPr="006A24E1" w:rsidRDefault="006A24E1" w:rsidP="006A24E1">
                            <w:pPr>
                              <w:rPr>
                                <w:rFonts w:ascii="IBM Plex Sans" w:eastAsia="Times New Roman" w:hAnsi="IBM Plex Sans" w:cs="Times New Roman"/>
                                <w:color w:val="3B3838" w:themeColor="background2" w:themeShade="40"/>
                                <w:sz w:val="22"/>
                                <w:szCs w:val="22"/>
                              </w:rPr>
                            </w:pPr>
                          </w:p>
                          <w:p w14:paraId="08ED50C6" w14:textId="37329BBC" w:rsidR="006A24E1" w:rsidRPr="006A24E1" w:rsidRDefault="006A24E1" w:rsidP="006A24E1">
                            <w:pPr>
                              <w:shd w:val="clear" w:color="auto" w:fill="FFFFFF"/>
                              <w:rPr>
                                <w:rFonts w:ascii="IBM Plex Sans" w:eastAsia="Times New Roman" w:hAnsi="IBM Plex Sans" w:cs="Times New Roman"/>
                                <w:color w:val="3B3838" w:themeColor="background2" w:themeShade="40"/>
                                <w:sz w:val="22"/>
                                <w:szCs w:val="22"/>
                              </w:rPr>
                            </w:pPr>
                            <w:r w:rsidRPr="006A24E1">
                              <w:rPr>
                                <w:rFonts w:ascii="IBM Plex Sans" w:eastAsia="Times New Roman" w:hAnsi="IBM Plex Sans" w:cs="Times New Roman"/>
                                <w:color w:val="3B3838" w:themeColor="background2" w:themeShade="40"/>
                                <w:sz w:val="22"/>
                                <w:szCs w:val="22"/>
                              </w:rPr>
                              <w:t>All remaining manufacturing businesses will open under Phase 2 — earliest expected date for Seattle area based on current data trends: June 1</w:t>
                            </w:r>
                          </w:p>
                          <w:p w14:paraId="2B8D40C2" w14:textId="77777777" w:rsidR="006A24E1" w:rsidRPr="006A24E1" w:rsidRDefault="006A24E1" w:rsidP="006A24E1">
                            <w:pPr>
                              <w:shd w:val="clear" w:color="auto" w:fill="FFFFFF"/>
                              <w:rPr>
                                <w:rFonts w:ascii="IBM Plex Sans" w:eastAsia="Times New Roman" w:hAnsi="IBM Plex Sans" w:cs="Times New Roman"/>
                                <w:color w:val="3B3838" w:themeColor="background2" w:themeShade="40"/>
                                <w:sz w:val="22"/>
                                <w:szCs w:val="22"/>
                              </w:rPr>
                            </w:pPr>
                          </w:p>
                          <w:p w14:paraId="13407DF2" w14:textId="68F3BA17" w:rsidR="006A24E1" w:rsidRPr="006A24E1" w:rsidRDefault="006A24E1" w:rsidP="006A24E1">
                            <w:pPr>
                              <w:shd w:val="clear" w:color="auto" w:fill="FFFFFF"/>
                              <w:rPr>
                                <w:rFonts w:ascii="IBM Plex Sans" w:eastAsia="Times New Roman" w:hAnsi="IBM Plex Sans" w:cs="Times New Roman"/>
                                <w:i/>
                                <w:iCs/>
                                <w:color w:val="3B3838" w:themeColor="background2" w:themeShade="40"/>
                                <w:sz w:val="20"/>
                                <w:szCs w:val="20"/>
                              </w:rPr>
                            </w:pPr>
                            <w:r w:rsidRPr="006A24E1">
                              <w:rPr>
                                <w:rFonts w:ascii="IBM Plex Sans" w:eastAsia="Times New Roman" w:hAnsi="IBM Plex Sans" w:cs="Times New Roman"/>
                                <w:i/>
                                <w:iCs/>
                                <w:color w:val="3B3838" w:themeColor="background2" w:themeShade="40"/>
                                <w:sz w:val="20"/>
                                <w:szCs w:val="20"/>
                              </w:rPr>
                              <w:t>Exceptions: Asotin, Columbia, Ferry, Garfield, Lincoln, Pend Oreille, Stevens, Wahkiakum, Whitman and Skamania counties have been allowed to move to Phase 2.</w:t>
                            </w:r>
                          </w:p>
                          <w:p w14:paraId="2C2C615E" w14:textId="77777777" w:rsidR="006A24E1" w:rsidRPr="00506ACA" w:rsidRDefault="006A24E1" w:rsidP="006A24E1">
                            <w:pPr>
                              <w:shd w:val="clear" w:color="auto" w:fill="FFFFFF"/>
                              <w:rPr>
                                <w:rFonts w:ascii="IBM Plex Sans" w:eastAsia="Times New Roman" w:hAnsi="IBM Plex Sans" w:cs="Times New Roman"/>
                                <w:color w:val="404040" w:themeColor="text1" w:themeTint="BF"/>
                                <w:sz w:val="20"/>
                                <w:szCs w:val="20"/>
                              </w:rPr>
                            </w:pPr>
                          </w:p>
                          <w:p w14:paraId="3DA00C52" w14:textId="77777777" w:rsidR="006A24E1" w:rsidRPr="006A24E1" w:rsidRDefault="006A24E1" w:rsidP="006A24E1">
                            <w:pPr>
                              <w:rPr>
                                <w:rFonts w:ascii="Atrament" w:eastAsia="Times New Roman" w:hAnsi="Atrament" w:cs="Times New Roman"/>
                                <w:color w:val="2C5A18"/>
                                <w:sz w:val="28"/>
                                <w:szCs w:val="28"/>
                              </w:rPr>
                            </w:pPr>
                            <w:r w:rsidRPr="006A24E1">
                              <w:rPr>
                                <w:rFonts w:ascii="Atrament" w:eastAsia="Times New Roman" w:hAnsi="Atrament" w:cs="Times New Roman"/>
                                <w:color w:val="2C5A18"/>
                                <w:sz w:val="28"/>
                                <w:szCs w:val="28"/>
                              </w:rPr>
                              <w:t>Overview of Phase 2 General Safety &amp; Healthy Requirements:</w:t>
                            </w:r>
                          </w:p>
                          <w:p w14:paraId="40056FF8" w14:textId="77777777" w:rsidR="006A24E1" w:rsidRPr="006A24E1" w:rsidRDefault="006A24E1" w:rsidP="006A24E1">
                            <w:pPr>
                              <w:rPr>
                                <w:rFonts w:ascii="IBM Plex Sans" w:eastAsia="Times New Roman" w:hAnsi="IBM Plex Sans" w:cs="Times New Roman"/>
                                <w:color w:val="3B3838" w:themeColor="background2" w:themeShade="40"/>
                                <w:sz w:val="22"/>
                                <w:szCs w:val="22"/>
                              </w:rPr>
                            </w:pPr>
                            <w:r w:rsidRPr="006A24E1">
                              <w:rPr>
                                <w:rFonts w:ascii="IBM Plex Sans" w:eastAsia="Times New Roman" w:hAnsi="IBM Plex Sans" w:cs="Times New Roman"/>
                                <w:color w:val="3B3838" w:themeColor="background2" w:themeShade="40"/>
                                <w:sz w:val="22"/>
                                <w:szCs w:val="22"/>
                              </w:rPr>
                              <w:t>All manufacturing establishments have a general obligation to keep a safe and healthy facility in accordance with state and federal law, and comply with the following COVID-19 worksite-specific safety practices, as outlined in Governor Jay Inslee’s “Stay Home, Stay Healthy” Proclamation 20-25, and in accordance with the Washington State Department of Labor &amp; Industries</w:t>
                            </w:r>
                            <w:r w:rsidRPr="006A24E1">
                              <w:rPr>
                                <w:rFonts w:ascii="IBM Plex Sans" w:eastAsia="Times New Roman" w:hAnsi="IBM Plex Sans" w:cs="Times New Roman"/>
                                <w:color w:val="346F87"/>
                                <w:sz w:val="22"/>
                                <w:szCs w:val="22"/>
                              </w:rPr>
                              <w:t xml:space="preserve"> </w:t>
                            </w:r>
                            <w:hyperlink r:id="rId7" w:history="1">
                              <w:r w:rsidRPr="006A24E1">
                                <w:rPr>
                                  <w:rStyle w:val="Hyperlink"/>
                                  <w:rFonts w:ascii="IBM Plex Sans" w:eastAsia="Times New Roman" w:hAnsi="IBM Plex Sans" w:cs="Times New Roman"/>
                                  <w:color w:val="346F87"/>
                                  <w:sz w:val="22"/>
                                  <w:szCs w:val="22"/>
                                </w:rPr>
                                <w:t>General Requirements and Prevention Ideas for Workplaces</w:t>
                              </w:r>
                            </w:hyperlink>
                            <w:r w:rsidRPr="006A24E1">
                              <w:rPr>
                                <w:rFonts w:ascii="IBM Plex Sans" w:eastAsia="Times New Roman" w:hAnsi="IBM Plex Sans" w:cs="Times New Roman"/>
                                <w:color w:val="346F87"/>
                                <w:sz w:val="22"/>
                                <w:szCs w:val="22"/>
                              </w:rPr>
                              <w:t xml:space="preserve"> </w:t>
                            </w:r>
                            <w:r w:rsidRPr="006A24E1">
                              <w:rPr>
                                <w:rFonts w:ascii="IBM Plex Sans" w:eastAsia="Times New Roman" w:hAnsi="IBM Plex Sans" w:cs="Times New Roman"/>
                                <w:color w:val="3B3838" w:themeColor="background2" w:themeShade="40"/>
                                <w:sz w:val="22"/>
                                <w:szCs w:val="22"/>
                              </w:rPr>
                              <w:t xml:space="preserve">and the Washington State Department of Health Workplace and Employer Resources &amp; Recommendations at </w:t>
                            </w:r>
                            <w:hyperlink r:id="rId8" w:history="1">
                              <w:r w:rsidRPr="006A24E1">
                                <w:rPr>
                                  <w:rStyle w:val="Hyperlink"/>
                                  <w:rFonts w:ascii="IBM Plex Sans" w:eastAsia="Times New Roman" w:hAnsi="IBM Plex Sans" w:cs="Times New Roman"/>
                                  <w:color w:val="346F87"/>
                                  <w:sz w:val="22"/>
                                  <w:szCs w:val="22"/>
                                </w:rPr>
                                <w:t>https://www.doh.wa.gov/Coronavirus/workplace</w:t>
                              </w:r>
                            </w:hyperlink>
                            <w:r w:rsidRPr="006A24E1">
                              <w:rPr>
                                <w:rFonts w:ascii="IBM Plex Sans" w:eastAsia="Times New Roman" w:hAnsi="IBM Plex Sans" w:cs="Times New Roman"/>
                                <w:color w:val="3B3838" w:themeColor="background2" w:themeShade="40"/>
                                <w:sz w:val="22"/>
                                <w:szCs w:val="22"/>
                              </w:rPr>
                              <w:t>. Employers must specifically ensure operations follow the main L&amp;I COVID-19 requirements to protect workers combined with Governor Inslee's Phase 2 Safety and Health Requirements.</w:t>
                            </w:r>
                          </w:p>
                          <w:p w14:paraId="2BA55031" w14:textId="77777777" w:rsidR="006A24E1" w:rsidRPr="006A24E1" w:rsidRDefault="006A24E1" w:rsidP="006A24E1">
                            <w:pPr>
                              <w:rPr>
                                <w:rFonts w:ascii="IBM Plex Sans" w:hAnsi="IBM Plex Sans"/>
                                <w:color w:val="3B3838" w:themeColor="background2" w:themeShade="40"/>
                                <w:sz w:val="28"/>
                                <w:szCs w:val="28"/>
                              </w:rPr>
                            </w:pPr>
                          </w:p>
                          <w:p w14:paraId="00022C24" w14:textId="77777777" w:rsidR="006A24E1" w:rsidRPr="006A24E1" w:rsidRDefault="006A24E1" w:rsidP="006A24E1">
                            <w:pPr>
                              <w:pStyle w:val="Heading3"/>
                              <w:spacing w:before="0" w:beforeAutospacing="0" w:after="0" w:afterAutospacing="0"/>
                              <w:rPr>
                                <w:rFonts w:ascii="Atrament" w:hAnsi="Atrament" w:cs="Arial"/>
                                <w:b w:val="0"/>
                                <w:bCs w:val="0"/>
                                <w:color w:val="3B3838" w:themeColor="background2" w:themeShade="40"/>
                                <w:sz w:val="22"/>
                                <w:szCs w:val="22"/>
                              </w:rPr>
                            </w:pPr>
                            <w:r w:rsidRPr="006A24E1">
                              <w:rPr>
                                <w:rFonts w:ascii="Atrament" w:hAnsi="Atrament" w:cs="Arial"/>
                                <w:b w:val="0"/>
                                <w:bCs w:val="0"/>
                                <w:color w:val="2C5A18"/>
                                <w:sz w:val="28"/>
                                <w:szCs w:val="28"/>
                              </w:rPr>
                              <w:t>Impact Washington No-Cost Return-to-Work Assessment</w:t>
                            </w:r>
                          </w:p>
                          <w:p w14:paraId="6E64075D" w14:textId="1AEF9ECE" w:rsidR="006A24E1" w:rsidRDefault="009B062F" w:rsidP="006A24E1">
                            <w:pPr>
                              <w:pStyle w:val="Heading3"/>
                              <w:spacing w:before="0" w:beforeAutospacing="0" w:after="0" w:afterAutospacing="0"/>
                              <w:rPr>
                                <w:rFonts w:ascii="IBM Plex Sans" w:hAnsi="IBM Plex Sans" w:cs="Arial"/>
                                <w:b w:val="0"/>
                                <w:bCs w:val="0"/>
                                <w:color w:val="3B3838" w:themeColor="background2" w:themeShade="40"/>
                                <w:sz w:val="22"/>
                                <w:szCs w:val="22"/>
                              </w:rPr>
                            </w:pPr>
                            <w:hyperlink r:id="rId9" w:history="1">
                              <w:r w:rsidR="006A24E1" w:rsidRPr="006A24E1">
                                <w:rPr>
                                  <w:rStyle w:val="Hyperlink"/>
                                  <w:rFonts w:ascii="IBM Plex Sans" w:hAnsi="IBM Plex Sans" w:cs="Arial"/>
                                  <w:b w:val="0"/>
                                  <w:bCs w:val="0"/>
                                  <w:color w:val="346F87"/>
                                  <w:sz w:val="22"/>
                                  <w:szCs w:val="22"/>
                                </w:rPr>
                                <w:t>Impact Washington</w:t>
                              </w:r>
                            </w:hyperlink>
                            <w:r w:rsidR="006A24E1" w:rsidRPr="006A24E1">
                              <w:rPr>
                                <w:rFonts w:ascii="IBM Plex Sans" w:hAnsi="IBM Plex Sans" w:cs="Arial"/>
                                <w:b w:val="0"/>
                                <w:bCs w:val="0"/>
                                <w:color w:val="3B3838" w:themeColor="background2" w:themeShade="40"/>
                                <w:sz w:val="22"/>
                                <w:szCs w:val="22"/>
                              </w:rPr>
                              <w:t> has begun providing no-cost readiness assessments to help manufacturers prepare to return to work. Using funds authorized by the </w:t>
                            </w:r>
                            <w:hyperlink r:id="rId10" w:history="1">
                              <w:r w:rsidR="006A24E1" w:rsidRPr="006A24E1">
                                <w:rPr>
                                  <w:rStyle w:val="Hyperlink"/>
                                  <w:rFonts w:ascii="IBM Plex Sans" w:hAnsi="IBM Plex Sans" w:cs="Arial"/>
                                  <w:b w:val="0"/>
                                  <w:bCs w:val="0"/>
                                  <w:color w:val="346F87"/>
                                  <w:sz w:val="22"/>
                                  <w:szCs w:val="22"/>
                                </w:rPr>
                                <w:t>CARES Act</w:t>
                              </w:r>
                            </w:hyperlink>
                            <w:r w:rsidR="006A24E1" w:rsidRPr="006A24E1">
                              <w:rPr>
                                <w:rFonts w:ascii="IBM Plex Sans" w:hAnsi="IBM Plex Sans" w:cs="Arial"/>
                                <w:b w:val="0"/>
                                <w:bCs w:val="0"/>
                                <w:color w:val="346F87"/>
                                <w:sz w:val="22"/>
                                <w:szCs w:val="22"/>
                              </w:rPr>
                              <w:t> </w:t>
                            </w:r>
                            <w:r w:rsidR="006A24E1" w:rsidRPr="006A24E1">
                              <w:rPr>
                                <w:rFonts w:ascii="IBM Plex Sans" w:hAnsi="IBM Plex Sans" w:cs="Arial"/>
                                <w:b w:val="0"/>
                                <w:bCs w:val="0"/>
                                <w:color w:val="3B3838" w:themeColor="background2" w:themeShade="40"/>
                                <w:sz w:val="22"/>
                                <w:szCs w:val="22"/>
                              </w:rPr>
                              <w:t>NIST issued awards to Manufacturing Extension Partnership (MEP) centers for COVID-19-related projects. The first authorized usage of funds is going towards Return to Work Readiness Assessments. Additional fund phases will support the operational needs of manufactures related to COVID-19 Recovery.</w:t>
                            </w:r>
                          </w:p>
                          <w:p w14:paraId="75ABFAEE" w14:textId="77777777" w:rsidR="006A24E1" w:rsidRPr="006A24E1" w:rsidRDefault="006A24E1" w:rsidP="006A24E1">
                            <w:pPr>
                              <w:pStyle w:val="Heading3"/>
                              <w:spacing w:before="0" w:beforeAutospacing="0" w:after="0" w:afterAutospacing="0"/>
                              <w:rPr>
                                <w:rFonts w:ascii="IBM Plex Sans" w:hAnsi="IBM Plex Sans" w:cs="Arial"/>
                                <w:b w:val="0"/>
                                <w:bCs w:val="0"/>
                                <w:color w:val="3B3838" w:themeColor="background2" w:themeShade="40"/>
                                <w:sz w:val="22"/>
                                <w:szCs w:val="22"/>
                              </w:rPr>
                            </w:pPr>
                          </w:p>
                          <w:p w14:paraId="0E7B7406" w14:textId="2EB11573" w:rsidR="006A24E1" w:rsidRPr="006A24E1" w:rsidRDefault="006A24E1" w:rsidP="006A24E1">
                            <w:pPr>
                              <w:pStyle w:val="NormalWeb"/>
                              <w:spacing w:before="0" w:beforeAutospacing="0" w:after="0" w:afterAutospacing="0"/>
                              <w:rPr>
                                <w:rFonts w:ascii="IBM Plex Sans" w:hAnsi="IBM Plex Sans" w:cs="Arial"/>
                                <w:color w:val="3B3838" w:themeColor="background2" w:themeShade="40"/>
                                <w:sz w:val="22"/>
                                <w:szCs w:val="22"/>
                              </w:rPr>
                            </w:pPr>
                            <w:r w:rsidRPr="006A24E1">
                              <w:rPr>
                                <w:rFonts w:ascii="IBM Plex Sans" w:hAnsi="IBM Plex Sans" w:cs="Arial"/>
                                <w:color w:val="3B3838" w:themeColor="background2" w:themeShade="40"/>
                                <w:sz w:val="22"/>
                                <w:szCs w:val="22"/>
                              </w:rPr>
                              <w:t>The Assessment includes a</w:t>
                            </w:r>
                            <w:r>
                              <w:rPr>
                                <w:rFonts w:ascii="IBM Plex Sans" w:hAnsi="IBM Plex Sans" w:cs="Arial"/>
                                <w:color w:val="3B3838" w:themeColor="background2" w:themeShade="40"/>
                                <w:sz w:val="22"/>
                                <w:szCs w:val="22"/>
                              </w:rPr>
                              <w:t xml:space="preserve"> full-day</w:t>
                            </w:r>
                            <w:r w:rsidRPr="006A24E1">
                              <w:rPr>
                                <w:rFonts w:ascii="IBM Plex Sans" w:hAnsi="IBM Plex Sans" w:cs="Arial"/>
                                <w:color w:val="3B3838" w:themeColor="background2" w:themeShade="40"/>
                                <w:sz w:val="22"/>
                                <w:szCs w:val="22"/>
                              </w:rPr>
                              <w:t xml:space="preserve"> virtual site visit with an Impact Washington consultant followed quickly by a thoughtful implementation plan and debrief to ensure a smooth restart of your business as soon as possible. The completed assessment will summarize, and document individual risk levels found within each facility and provide recommendations for specific workplace controls. In manufacturing environments, the potential for close contact can occur on or near production lines, receiving and packaging areas, sampling and quality rooms, and in common facility areas such as conference rooms, lunchrooms, locker rooms, restrooms, hallways, and entryways.</w:t>
                            </w:r>
                          </w:p>
                          <w:p w14:paraId="311EC78C" w14:textId="77777777" w:rsidR="006A24E1" w:rsidRPr="006A24E1" w:rsidRDefault="006A24E1" w:rsidP="006A24E1">
                            <w:pPr>
                              <w:pStyle w:val="NormalWeb"/>
                              <w:spacing w:before="0" w:beforeAutospacing="0" w:after="0" w:afterAutospacing="0"/>
                              <w:rPr>
                                <w:rFonts w:ascii="IBM Plex Sans" w:hAnsi="IBM Plex Sans" w:cs="Arial"/>
                                <w:color w:val="3B3838" w:themeColor="background2" w:themeShade="40"/>
                                <w:sz w:val="22"/>
                                <w:szCs w:val="22"/>
                              </w:rPr>
                            </w:pPr>
                          </w:p>
                          <w:p w14:paraId="04DA16A3" w14:textId="77777777" w:rsidR="006A24E1" w:rsidRPr="006A24E1" w:rsidRDefault="006A24E1" w:rsidP="006A24E1">
                            <w:pPr>
                              <w:pStyle w:val="NormalWeb"/>
                              <w:spacing w:before="0" w:beforeAutospacing="0" w:after="0" w:afterAutospacing="0"/>
                              <w:rPr>
                                <w:rFonts w:ascii="IBM Plex Sans" w:hAnsi="IBM Plex Sans" w:cs="Arial"/>
                                <w:color w:val="3B3838" w:themeColor="background2" w:themeShade="40"/>
                                <w:sz w:val="22"/>
                                <w:szCs w:val="22"/>
                              </w:rPr>
                            </w:pPr>
                            <w:r w:rsidRPr="006A24E1">
                              <w:rPr>
                                <w:rFonts w:ascii="IBM Plex Sans" w:hAnsi="IBM Plex Sans" w:cs="Arial"/>
                                <w:color w:val="3B3838" w:themeColor="background2" w:themeShade="40"/>
                                <w:sz w:val="22"/>
                                <w:szCs w:val="22"/>
                              </w:rPr>
                              <w:t>Get your facility on the schedule by contacting Impact Washington </w:t>
                            </w:r>
                            <w:hyperlink r:id="rId11" w:history="1">
                              <w:r w:rsidRPr="006A24E1">
                                <w:rPr>
                                  <w:rStyle w:val="Hyperlink"/>
                                  <w:rFonts w:ascii="IBM Plex Sans" w:hAnsi="IBM Plex Sans" w:cs="Arial"/>
                                  <w:b/>
                                  <w:bCs/>
                                  <w:color w:val="346F87"/>
                                  <w:sz w:val="22"/>
                                  <w:szCs w:val="22"/>
                                </w:rPr>
                                <w:t>HERE</w:t>
                              </w:r>
                            </w:hyperlink>
                            <w:r w:rsidRPr="006A24E1">
                              <w:rPr>
                                <w:rFonts w:ascii="IBM Plex Sans" w:hAnsi="IBM Plex Sans" w:cs="Arial"/>
                                <w:b/>
                                <w:bCs/>
                                <w:color w:val="346F87"/>
                                <w:sz w:val="22"/>
                                <w:szCs w:val="22"/>
                              </w:rPr>
                              <w:t> </w:t>
                            </w:r>
                            <w:r w:rsidRPr="006A24E1">
                              <w:rPr>
                                <w:rFonts w:ascii="IBM Plex Sans" w:hAnsi="IBM Plex Sans" w:cs="Arial"/>
                                <w:color w:val="3B3838" w:themeColor="background2" w:themeShade="40"/>
                                <w:sz w:val="22"/>
                                <w:szCs w:val="22"/>
                              </w:rPr>
                              <w:t>or call 425-438-1146.</w:t>
                            </w:r>
                          </w:p>
                          <w:p w14:paraId="3DA31759" w14:textId="77777777" w:rsidR="006A24E1" w:rsidRPr="006A24E1" w:rsidRDefault="006A24E1" w:rsidP="006A24E1">
                            <w:pPr>
                              <w:pStyle w:val="NormalWeb"/>
                              <w:spacing w:before="0" w:beforeAutospacing="0" w:after="0" w:afterAutospacing="0"/>
                              <w:rPr>
                                <w:rFonts w:ascii="IBM Plex Sans" w:hAnsi="IBM Plex Sans" w:cs="Arial"/>
                                <w:color w:val="323232"/>
                                <w:sz w:val="22"/>
                                <w:szCs w:val="22"/>
                              </w:rPr>
                            </w:pPr>
                            <w:r w:rsidRPr="006A24E1">
                              <w:rPr>
                                <w:rFonts w:ascii="IBM Plex Sans" w:hAnsi="IBM Plex Sans" w:cs="Arial"/>
                                <w:color w:val="3B3838" w:themeColor="background2" w:themeShade="40"/>
                                <w:sz w:val="22"/>
                                <w:szCs w:val="22"/>
                              </w:rPr>
                              <w:t>View the  </w:t>
                            </w:r>
                            <w:hyperlink r:id="rId12" w:history="1">
                              <w:r w:rsidRPr="006A24E1">
                                <w:rPr>
                                  <w:rStyle w:val="Hyperlink"/>
                                  <w:rFonts w:ascii="IBM Plex Sans" w:hAnsi="IBM Plex Sans" w:cs="Arial"/>
                                  <w:color w:val="346F87"/>
                                  <w:sz w:val="22"/>
                                  <w:szCs w:val="22"/>
                                </w:rPr>
                                <w:t>COVID-19 Business Recovery Call Schedule</w:t>
                              </w:r>
                            </w:hyperlink>
                            <w:r w:rsidRPr="006A24E1">
                              <w:rPr>
                                <w:rFonts w:ascii="IBM Plex Sans" w:hAnsi="IBM Plex Sans" w:cs="Arial"/>
                                <w:color w:val="346F87"/>
                                <w:sz w:val="22"/>
                                <w:szCs w:val="22"/>
                              </w:rPr>
                              <w:t> </w:t>
                            </w:r>
                            <w:r w:rsidRPr="006A24E1">
                              <w:rPr>
                                <w:rFonts w:ascii="IBM Plex Sans" w:hAnsi="IBM Plex Sans" w:cs="Arial"/>
                                <w:color w:val="3B3838" w:themeColor="background2" w:themeShade="40"/>
                                <w:sz w:val="22"/>
                                <w:szCs w:val="22"/>
                              </w:rPr>
                              <w:t xml:space="preserve">to learn about a Return to Work Webinar in your area </w:t>
                            </w:r>
                            <w:r w:rsidRPr="006A24E1">
                              <w:rPr>
                                <w:rFonts w:ascii="IBM Plex Sans" w:hAnsi="IBM Plex Sans" w:cs="Arial"/>
                                <w:color w:val="323232"/>
                                <w:sz w:val="22"/>
                                <w:szCs w:val="22"/>
                              </w:rPr>
                              <w:t>or listen to previous recorded </w:t>
                            </w:r>
                            <w:hyperlink r:id="rId13" w:history="1">
                              <w:r w:rsidRPr="006A24E1">
                                <w:rPr>
                                  <w:rStyle w:val="Hyperlink"/>
                                  <w:rFonts w:ascii="IBM Plex Sans" w:hAnsi="IBM Plex Sans" w:cs="Arial"/>
                                  <w:color w:val="004A82"/>
                                  <w:sz w:val="22"/>
                                  <w:szCs w:val="22"/>
                                </w:rPr>
                                <w:t>Webinars </w:t>
                              </w:r>
                            </w:hyperlink>
                          </w:p>
                          <w:p w14:paraId="34C38AA6" w14:textId="77777777" w:rsidR="006A24E1" w:rsidRPr="00506ACA" w:rsidRDefault="006A24E1" w:rsidP="006A24E1">
                            <w:pPr>
                              <w:pStyle w:val="NormalWeb"/>
                              <w:spacing w:before="0" w:beforeAutospacing="0" w:after="0" w:afterAutospacing="0"/>
                              <w:rPr>
                                <w:rFonts w:ascii="IBM Plex Sans" w:hAnsi="IBM Plex Sans" w:cs="Arial"/>
                                <w:color w:val="323232"/>
                                <w:sz w:val="22"/>
                                <w:szCs w:val="22"/>
                              </w:rPr>
                            </w:pPr>
                          </w:p>
                          <w:p w14:paraId="44D38B3B" w14:textId="77777777" w:rsidR="006A24E1" w:rsidRPr="00506ACA" w:rsidRDefault="006A24E1" w:rsidP="006A24E1">
                            <w:pPr>
                              <w:rPr>
                                <w:rFonts w:ascii="IBM Plex Sans" w:hAnsi="IBM Plex Sans"/>
                                <w:color w:val="404040" w:themeColor="text1" w:themeTint="BF"/>
                                <w:sz w:val="22"/>
                                <w:szCs w:val="22"/>
                              </w:rPr>
                            </w:pPr>
                          </w:p>
                          <w:p w14:paraId="3746F511" w14:textId="2B6215F3" w:rsidR="006A24E1" w:rsidRPr="006A24E1" w:rsidRDefault="006A24E1" w:rsidP="006A24E1">
                            <w:pPr>
                              <w:rPr>
                                <w:rFonts w:ascii="IBM Plex Sans" w:hAnsi="IBM Plex Sans"/>
                                <w:b/>
                                <w:bCs/>
                                <w:color w:val="3B3838" w:themeColor="background2" w:themeShade="4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84CEF" id="_x0000_t202" coordsize="21600,21600" o:spt="202" path="m,l,21600r21600,l21600,xe">
                <v:stroke joinstyle="miter"/>
                <v:path gradientshapeok="t" o:connecttype="rect"/>
              </v:shapetype>
              <v:shape id="Text Box 1" o:spid="_x0000_s1026" type="#_x0000_t202" style="position:absolute;margin-left:-36.45pt;margin-top:52.8pt;width:552.3pt;height: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" filled="f" stroked="f" strokeweight=".5pt">
                <v:textbox>
                  <w:txbxContent>
                    <w:p w14:paraId="68567000" w14:textId="77777777" w:rsidR="006A24E1" w:rsidRDefault="006A24E1" w:rsidP="006A24E1">
                      <w:pPr>
                        <w:jc w:val="right"/>
                        <w:rPr>
                          <w:rFonts w:ascii="IBM Plex Sans" w:eastAsia="Times New Roman" w:hAnsi="IBM Plex Sans" w:cs="Times New Roman"/>
                          <w:color w:val="404040" w:themeColor="text1" w:themeTint="BF"/>
                          <w:sz w:val="22"/>
                          <w:szCs w:val="22"/>
                        </w:rPr>
                      </w:pPr>
                      <w:r>
                        <w:rPr>
                          <w:rFonts w:ascii="IBM Plex Sans" w:eastAsia="Times New Roman" w:hAnsi="IBM Plex Sans" w:cs="Times New Roman"/>
                          <w:color w:val="404040" w:themeColor="text1" w:themeTint="BF"/>
                          <w:sz w:val="22"/>
                          <w:szCs w:val="22"/>
                        </w:rPr>
                        <w:t>May 20, 2020</w:t>
                      </w:r>
                    </w:p>
                    <w:p w14:paraId="5713B080" w14:textId="77777777" w:rsidR="006A24E1" w:rsidRDefault="006A24E1" w:rsidP="006A24E1">
                      <w:pPr>
                        <w:jc w:val="right"/>
                        <w:rPr>
                          <w:rFonts w:ascii="IBM Plex Sans" w:eastAsia="Times New Roman" w:hAnsi="IBM Plex Sans" w:cs="Times New Roman"/>
                          <w:color w:val="404040" w:themeColor="text1" w:themeTint="BF"/>
                          <w:sz w:val="22"/>
                          <w:szCs w:val="22"/>
                        </w:rPr>
                      </w:pPr>
                    </w:p>
                    <w:p w14:paraId="29670C0C" w14:textId="77777777" w:rsidR="006A24E1" w:rsidRPr="006A24E1" w:rsidRDefault="006A24E1" w:rsidP="006A24E1">
                      <w:pPr>
                        <w:rPr>
                          <w:rFonts w:ascii="IBM Plex Sans" w:eastAsia="Times New Roman" w:hAnsi="IBM Plex Sans" w:cs="Times New Roman"/>
                          <w:color w:val="3B3838" w:themeColor="background2" w:themeShade="40"/>
                          <w:sz w:val="22"/>
                          <w:szCs w:val="22"/>
                        </w:rPr>
                      </w:pPr>
                      <w:r w:rsidRPr="006A24E1">
                        <w:rPr>
                          <w:rFonts w:ascii="IBM Plex Sans" w:eastAsia="Times New Roman" w:hAnsi="IBM Plex Sans" w:cs="Times New Roman"/>
                          <w:color w:val="3B3838" w:themeColor="background2" w:themeShade="40"/>
                          <w:sz w:val="22"/>
                          <w:szCs w:val="22"/>
                        </w:rPr>
                        <w:t xml:space="preserve">All Manufacturing facilities must adopt a written procedure that is at least as strict as the Phase 2 </w:t>
                      </w:r>
                      <w:hyperlink r:id="rId14" w:history="1">
                        <w:r w:rsidRPr="006A24E1">
                          <w:rPr>
                            <w:rStyle w:val="Hyperlink"/>
                            <w:rFonts w:ascii="IBM Plex Sans" w:eastAsia="Times New Roman" w:hAnsi="IBM Plex Sans" w:cs="Times New Roman"/>
                            <w:color w:val="346F87"/>
                            <w:sz w:val="22"/>
                            <w:szCs w:val="22"/>
                          </w:rPr>
                          <w:t>Safety a</w:t>
                        </w:r>
                        <w:bookmarkStart w:id="1" w:name="_GoBack"/>
                        <w:bookmarkEnd w:id="1"/>
                        <w:r w:rsidRPr="006A24E1">
                          <w:rPr>
                            <w:rStyle w:val="Hyperlink"/>
                            <w:rFonts w:ascii="IBM Plex Sans" w:eastAsia="Times New Roman" w:hAnsi="IBM Plex Sans" w:cs="Times New Roman"/>
                            <w:color w:val="346F87"/>
                            <w:sz w:val="22"/>
                            <w:szCs w:val="22"/>
                          </w:rPr>
                          <w:t>nd Health Requirements</w:t>
                        </w:r>
                      </w:hyperlink>
                      <w:r w:rsidRPr="006A24E1">
                        <w:rPr>
                          <w:rFonts w:ascii="IBM Plex Sans" w:eastAsia="Times New Roman" w:hAnsi="IBM Plex Sans" w:cs="Times New Roman"/>
                          <w:color w:val="346F87"/>
                          <w:sz w:val="22"/>
                          <w:szCs w:val="22"/>
                        </w:rPr>
                        <w:t xml:space="preserve"> </w:t>
                      </w:r>
                      <w:r w:rsidRPr="006A24E1">
                        <w:rPr>
                          <w:rFonts w:ascii="IBM Plex Sans" w:eastAsia="Times New Roman" w:hAnsi="IBM Plex Sans" w:cs="Times New Roman"/>
                          <w:color w:val="3B3838" w:themeColor="background2" w:themeShade="40"/>
                          <w:sz w:val="22"/>
                          <w:szCs w:val="22"/>
                        </w:rPr>
                        <w:t xml:space="preserve">issued by Governor Inslee on May 12, 2020. </w:t>
                      </w:r>
                    </w:p>
                    <w:p w14:paraId="7145F143" w14:textId="77777777" w:rsidR="006A24E1" w:rsidRPr="006A24E1" w:rsidRDefault="006A24E1" w:rsidP="006A24E1">
                      <w:pPr>
                        <w:rPr>
                          <w:rFonts w:ascii="IBM Plex Sans" w:eastAsia="Times New Roman" w:hAnsi="IBM Plex Sans" w:cs="Times New Roman"/>
                          <w:b/>
                          <w:bCs/>
                          <w:color w:val="3B3838" w:themeColor="background2" w:themeShade="40"/>
                          <w:sz w:val="22"/>
                          <w:szCs w:val="22"/>
                        </w:rPr>
                      </w:pPr>
                    </w:p>
                    <w:p w14:paraId="23458D6E" w14:textId="77777777" w:rsidR="006A24E1" w:rsidRPr="006A24E1" w:rsidRDefault="006A24E1" w:rsidP="006A24E1">
                      <w:pPr>
                        <w:rPr>
                          <w:rFonts w:ascii="IBM Plex Sans" w:eastAsia="Times New Roman" w:hAnsi="IBM Plex Sans" w:cs="Times New Roman"/>
                          <w:color w:val="3B3838" w:themeColor="background2" w:themeShade="40"/>
                          <w:sz w:val="22"/>
                          <w:szCs w:val="22"/>
                        </w:rPr>
                      </w:pPr>
                      <w:r w:rsidRPr="006A24E1">
                        <w:rPr>
                          <w:rFonts w:ascii="IBM Plex Sans" w:eastAsia="Times New Roman" w:hAnsi="IBM Plex Sans" w:cs="Arial"/>
                          <w:color w:val="3B3838" w:themeColor="background2" w:themeShade="40"/>
                          <w:sz w:val="22"/>
                          <w:szCs w:val="22"/>
                        </w:rPr>
                        <w:t>Previously authorized manufacturing operations must implement all requirements under Phase 2, Manufacturing Facility COVID-19 Requirements by May 27, 2020, or may operate under a separately approved plan by the Department of Labor and Industries</w:t>
                      </w:r>
                    </w:p>
                    <w:p w14:paraId="3E4F72A1" w14:textId="77777777" w:rsidR="006A24E1" w:rsidRPr="006A24E1" w:rsidRDefault="006A24E1" w:rsidP="006A24E1">
                      <w:pPr>
                        <w:rPr>
                          <w:rFonts w:ascii="IBM Plex Sans" w:eastAsia="Times New Roman" w:hAnsi="IBM Plex Sans" w:cs="Times New Roman"/>
                          <w:color w:val="3B3838" w:themeColor="background2" w:themeShade="40"/>
                          <w:sz w:val="22"/>
                          <w:szCs w:val="22"/>
                        </w:rPr>
                      </w:pPr>
                    </w:p>
                    <w:p w14:paraId="08ED50C6" w14:textId="37329BBC" w:rsidR="006A24E1" w:rsidRPr="006A24E1" w:rsidRDefault="006A24E1" w:rsidP="006A24E1">
                      <w:pPr>
                        <w:shd w:val="clear" w:color="auto" w:fill="FFFFFF"/>
                        <w:rPr>
                          <w:rFonts w:ascii="IBM Plex Sans" w:eastAsia="Times New Roman" w:hAnsi="IBM Plex Sans" w:cs="Times New Roman"/>
                          <w:color w:val="3B3838" w:themeColor="background2" w:themeShade="40"/>
                          <w:sz w:val="22"/>
                          <w:szCs w:val="22"/>
                        </w:rPr>
                      </w:pPr>
                      <w:r w:rsidRPr="006A24E1">
                        <w:rPr>
                          <w:rFonts w:ascii="IBM Plex Sans" w:eastAsia="Times New Roman" w:hAnsi="IBM Plex Sans" w:cs="Times New Roman"/>
                          <w:color w:val="3B3838" w:themeColor="background2" w:themeShade="40"/>
                          <w:sz w:val="22"/>
                          <w:szCs w:val="22"/>
                        </w:rPr>
                        <w:t>All remaining manufacturing businesses will open under Phase 2 — earliest expected date for Seattle area based on current data trends: June 1</w:t>
                      </w:r>
                    </w:p>
                    <w:p w14:paraId="2B8D40C2" w14:textId="77777777" w:rsidR="006A24E1" w:rsidRPr="006A24E1" w:rsidRDefault="006A24E1" w:rsidP="006A24E1">
                      <w:pPr>
                        <w:shd w:val="clear" w:color="auto" w:fill="FFFFFF"/>
                        <w:rPr>
                          <w:rFonts w:ascii="IBM Plex Sans" w:eastAsia="Times New Roman" w:hAnsi="IBM Plex Sans" w:cs="Times New Roman"/>
                          <w:color w:val="3B3838" w:themeColor="background2" w:themeShade="40"/>
                          <w:sz w:val="22"/>
                          <w:szCs w:val="22"/>
                        </w:rPr>
                      </w:pPr>
                    </w:p>
                    <w:p w14:paraId="13407DF2" w14:textId="68F3BA17" w:rsidR="006A24E1" w:rsidRPr="006A24E1" w:rsidRDefault="006A24E1" w:rsidP="006A24E1">
                      <w:pPr>
                        <w:shd w:val="clear" w:color="auto" w:fill="FFFFFF"/>
                        <w:rPr>
                          <w:rFonts w:ascii="IBM Plex Sans" w:eastAsia="Times New Roman" w:hAnsi="IBM Plex Sans" w:cs="Times New Roman"/>
                          <w:i/>
                          <w:iCs/>
                          <w:color w:val="3B3838" w:themeColor="background2" w:themeShade="40"/>
                          <w:sz w:val="20"/>
                          <w:szCs w:val="20"/>
                        </w:rPr>
                      </w:pPr>
                      <w:r w:rsidRPr="006A24E1">
                        <w:rPr>
                          <w:rFonts w:ascii="IBM Plex Sans" w:eastAsia="Times New Roman" w:hAnsi="IBM Plex Sans" w:cs="Times New Roman"/>
                          <w:i/>
                          <w:iCs/>
                          <w:color w:val="3B3838" w:themeColor="background2" w:themeShade="40"/>
                          <w:sz w:val="20"/>
                          <w:szCs w:val="20"/>
                        </w:rPr>
                        <w:t>Exceptions: Asotin, Columbia, Ferry, Garfield, Lincoln, Pend Oreille, Stevens, Wahkiakum, Whitman and Skamania counties have been allowed to move to Phase 2.</w:t>
                      </w:r>
                    </w:p>
                    <w:p w14:paraId="2C2C615E" w14:textId="77777777" w:rsidR="006A24E1" w:rsidRPr="00506ACA" w:rsidRDefault="006A24E1" w:rsidP="006A24E1">
                      <w:pPr>
                        <w:shd w:val="clear" w:color="auto" w:fill="FFFFFF"/>
                        <w:rPr>
                          <w:rFonts w:ascii="IBM Plex Sans" w:eastAsia="Times New Roman" w:hAnsi="IBM Plex Sans" w:cs="Times New Roman"/>
                          <w:color w:val="404040" w:themeColor="text1" w:themeTint="BF"/>
                          <w:sz w:val="20"/>
                          <w:szCs w:val="20"/>
                        </w:rPr>
                      </w:pPr>
                    </w:p>
                    <w:p w14:paraId="3DA00C52" w14:textId="77777777" w:rsidR="006A24E1" w:rsidRPr="006A24E1" w:rsidRDefault="006A24E1" w:rsidP="006A24E1">
                      <w:pPr>
                        <w:rPr>
                          <w:rFonts w:ascii="Atrament" w:eastAsia="Times New Roman" w:hAnsi="Atrament" w:cs="Times New Roman"/>
                          <w:color w:val="2C5A18"/>
                          <w:sz w:val="28"/>
                          <w:szCs w:val="28"/>
                        </w:rPr>
                      </w:pPr>
                      <w:r w:rsidRPr="006A24E1">
                        <w:rPr>
                          <w:rFonts w:ascii="Atrament" w:eastAsia="Times New Roman" w:hAnsi="Atrament" w:cs="Times New Roman"/>
                          <w:color w:val="2C5A18"/>
                          <w:sz w:val="28"/>
                          <w:szCs w:val="28"/>
                        </w:rPr>
                        <w:t>Overview of Phase 2 General Safety &amp; Healthy Requirements:</w:t>
                      </w:r>
                    </w:p>
                    <w:p w14:paraId="40056FF8" w14:textId="77777777" w:rsidR="006A24E1" w:rsidRPr="006A24E1" w:rsidRDefault="006A24E1" w:rsidP="006A24E1">
                      <w:pPr>
                        <w:rPr>
                          <w:rFonts w:ascii="IBM Plex Sans" w:eastAsia="Times New Roman" w:hAnsi="IBM Plex Sans" w:cs="Times New Roman"/>
                          <w:color w:val="3B3838" w:themeColor="background2" w:themeShade="40"/>
                          <w:sz w:val="22"/>
                          <w:szCs w:val="22"/>
                        </w:rPr>
                      </w:pPr>
                      <w:r w:rsidRPr="006A24E1">
                        <w:rPr>
                          <w:rFonts w:ascii="IBM Plex Sans" w:eastAsia="Times New Roman" w:hAnsi="IBM Plex Sans" w:cs="Times New Roman"/>
                          <w:color w:val="3B3838" w:themeColor="background2" w:themeShade="40"/>
                          <w:sz w:val="22"/>
                          <w:szCs w:val="22"/>
                        </w:rPr>
                        <w:t>All manufacturing establishments have a general obligation to keep a safe and healthy facility in accordance with state and federal law, and comply with the following COVID-19 worksite-specific safety practices, as outlined in Governor Jay Inslee’s “Stay Home, Stay Healthy” Proclamation 20-25, and in accordance with the Washington State Department of Labor &amp; Industries</w:t>
                      </w:r>
                      <w:r w:rsidRPr="006A24E1">
                        <w:rPr>
                          <w:rFonts w:ascii="IBM Plex Sans" w:eastAsia="Times New Roman" w:hAnsi="IBM Plex Sans" w:cs="Times New Roman"/>
                          <w:color w:val="346F87"/>
                          <w:sz w:val="22"/>
                          <w:szCs w:val="22"/>
                        </w:rPr>
                        <w:t xml:space="preserve"> </w:t>
                      </w:r>
                      <w:hyperlink r:id="rId15" w:history="1">
                        <w:r w:rsidRPr="006A24E1">
                          <w:rPr>
                            <w:rStyle w:val="Hyperlink"/>
                            <w:rFonts w:ascii="IBM Plex Sans" w:eastAsia="Times New Roman" w:hAnsi="IBM Plex Sans" w:cs="Times New Roman"/>
                            <w:color w:val="346F87"/>
                            <w:sz w:val="22"/>
                            <w:szCs w:val="22"/>
                          </w:rPr>
                          <w:t>General Requirements and Prevention Ideas for Workplaces</w:t>
                        </w:r>
                      </w:hyperlink>
                      <w:r w:rsidRPr="006A24E1">
                        <w:rPr>
                          <w:rFonts w:ascii="IBM Plex Sans" w:eastAsia="Times New Roman" w:hAnsi="IBM Plex Sans" w:cs="Times New Roman"/>
                          <w:color w:val="346F87"/>
                          <w:sz w:val="22"/>
                          <w:szCs w:val="22"/>
                        </w:rPr>
                        <w:t xml:space="preserve"> </w:t>
                      </w:r>
                      <w:r w:rsidRPr="006A24E1">
                        <w:rPr>
                          <w:rFonts w:ascii="IBM Plex Sans" w:eastAsia="Times New Roman" w:hAnsi="IBM Plex Sans" w:cs="Times New Roman"/>
                          <w:color w:val="3B3838" w:themeColor="background2" w:themeShade="40"/>
                          <w:sz w:val="22"/>
                          <w:szCs w:val="22"/>
                        </w:rPr>
                        <w:t xml:space="preserve">and the Washington State Department of Health Workplace and Employer Resources &amp; Recommendations at </w:t>
                      </w:r>
                      <w:hyperlink r:id="rId16" w:history="1">
                        <w:r w:rsidRPr="006A24E1">
                          <w:rPr>
                            <w:rStyle w:val="Hyperlink"/>
                            <w:rFonts w:ascii="IBM Plex Sans" w:eastAsia="Times New Roman" w:hAnsi="IBM Plex Sans" w:cs="Times New Roman"/>
                            <w:color w:val="346F87"/>
                            <w:sz w:val="22"/>
                            <w:szCs w:val="22"/>
                          </w:rPr>
                          <w:t>https://www.doh.wa.gov/Coronavirus/workplace</w:t>
                        </w:r>
                      </w:hyperlink>
                      <w:r w:rsidRPr="006A24E1">
                        <w:rPr>
                          <w:rFonts w:ascii="IBM Plex Sans" w:eastAsia="Times New Roman" w:hAnsi="IBM Plex Sans" w:cs="Times New Roman"/>
                          <w:color w:val="3B3838" w:themeColor="background2" w:themeShade="40"/>
                          <w:sz w:val="22"/>
                          <w:szCs w:val="22"/>
                        </w:rPr>
                        <w:t>. Employers must specifically ensure operations follow the main L&amp;I COVID-19 requirements to protect workers combined with Governor Inslee's Phase 2 Safety and Health Requirements.</w:t>
                      </w:r>
                    </w:p>
                    <w:p w14:paraId="2BA55031" w14:textId="77777777" w:rsidR="006A24E1" w:rsidRPr="006A24E1" w:rsidRDefault="006A24E1" w:rsidP="006A24E1">
                      <w:pPr>
                        <w:rPr>
                          <w:rFonts w:ascii="IBM Plex Sans" w:hAnsi="IBM Plex Sans"/>
                          <w:color w:val="3B3838" w:themeColor="background2" w:themeShade="40"/>
                          <w:sz w:val="28"/>
                          <w:szCs w:val="28"/>
                        </w:rPr>
                      </w:pPr>
                    </w:p>
                    <w:p w14:paraId="00022C24" w14:textId="77777777" w:rsidR="006A24E1" w:rsidRPr="006A24E1" w:rsidRDefault="006A24E1" w:rsidP="006A24E1">
                      <w:pPr>
                        <w:pStyle w:val="Heading3"/>
                        <w:spacing w:before="0" w:beforeAutospacing="0" w:after="0" w:afterAutospacing="0"/>
                        <w:rPr>
                          <w:rFonts w:ascii="Atrament" w:hAnsi="Atrament" w:cs="Arial"/>
                          <w:b w:val="0"/>
                          <w:bCs w:val="0"/>
                          <w:color w:val="3B3838" w:themeColor="background2" w:themeShade="40"/>
                          <w:sz w:val="22"/>
                          <w:szCs w:val="22"/>
                        </w:rPr>
                      </w:pPr>
                      <w:r w:rsidRPr="006A24E1">
                        <w:rPr>
                          <w:rFonts w:ascii="Atrament" w:hAnsi="Atrament" w:cs="Arial"/>
                          <w:b w:val="0"/>
                          <w:bCs w:val="0"/>
                          <w:color w:val="2C5A18"/>
                          <w:sz w:val="28"/>
                          <w:szCs w:val="28"/>
                        </w:rPr>
                        <w:t>Impact Washington No-Cost Return-to-Work Assessment</w:t>
                      </w:r>
                    </w:p>
                    <w:p w14:paraId="6E64075D" w14:textId="1AEF9ECE" w:rsidR="006A24E1" w:rsidRDefault="009B062F" w:rsidP="006A24E1">
                      <w:pPr>
                        <w:pStyle w:val="Heading3"/>
                        <w:spacing w:before="0" w:beforeAutospacing="0" w:after="0" w:afterAutospacing="0"/>
                        <w:rPr>
                          <w:rFonts w:ascii="IBM Plex Sans" w:hAnsi="IBM Plex Sans" w:cs="Arial"/>
                          <w:b w:val="0"/>
                          <w:bCs w:val="0"/>
                          <w:color w:val="3B3838" w:themeColor="background2" w:themeShade="40"/>
                          <w:sz w:val="22"/>
                          <w:szCs w:val="22"/>
                        </w:rPr>
                      </w:pPr>
                      <w:hyperlink r:id="rId17" w:history="1">
                        <w:r w:rsidR="006A24E1" w:rsidRPr="006A24E1">
                          <w:rPr>
                            <w:rStyle w:val="Hyperlink"/>
                            <w:rFonts w:ascii="IBM Plex Sans" w:hAnsi="IBM Plex Sans" w:cs="Arial"/>
                            <w:b w:val="0"/>
                            <w:bCs w:val="0"/>
                            <w:color w:val="346F87"/>
                            <w:sz w:val="22"/>
                            <w:szCs w:val="22"/>
                          </w:rPr>
                          <w:t>Impact Washington</w:t>
                        </w:r>
                      </w:hyperlink>
                      <w:r w:rsidR="006A24E1" w:rsidRPr="006A24E1">
                        <w:rPr>
                          <w:rFonts w:ascii="IBM Plex Sans" w:hAnsi="IBM Plex Sans" w:cs="Arial"/>
                          <w:b w:val="0"/>
                          <w:bCs w:val="0"/>
                          <w:color w:val="3B3838" w:themeColor="background2" w:themeShade="40"/>
                          <w:sz w:val="22"/>
                          <w:szCs w:val="22"/>
                        </w:rPr>
                        <w:t> has begun providing no-cost readiness assessments to help manufacturers prepare to return to work. Using funds authorized by the </w:t>
                      </w:r>
                      <w:hyperlink r:id="rId18" w:history="1">
                        <w:r w:rsidR="006A24E1" w:rsidRPr="006A24E1">
                          <w:rPr>
                            <w:rStyle w:val="Hyperlink"/>
                            <w:rFonts w:ascii="IBM Plex Sans" w:hAnsi="IBM Plex Sans" w:cs="Arial"/>
                            <w:b w:val="0"/>
                            <w:bCs w:val="0"/>
                            <w:color w:val="346F87"/>
                            <w:sz w:val="22"/>
                            <w:szCs w:val="22"/>
                          </w:rPr>
                          <w:t>CARES Act</w:t>
                        </w:r>
                      </w:hyperlink>
                      <w:r w:rsidR="006A24E1" w:rsidRPr="006A24E1">
                        <w:rPr>
                          <w:rFonts w:ascii="IBM Plex Sans" w:hAnsi="IBM Plex Sans" w:cs="Arial"/>
                          <w:b w:val="0"/>
                          <w:bCs w:val="0"/>
                          <w:color w:val="346F87"/>
                          <w:sz w:val="22"/>
                          <w:szCs w:val="22"/>
                        </w:rPr>
                        <w:t> </w:t>
                      </w:r>
                      <w:r w:rsidR="006A24E1" w:rsidRPr="006A24E1">
                        <w:rPr>
                          <w:rFonts w:ascii="IBM Plex Sans" w:hAnsi="IBM Plex Sans" w:cs="Arial"/>
                          <w:b w:val="0"/>
                          <w:bCs w:val="0"/>
                          <w:color w:val="3B3838" w:themeColor="background2" w:themeShade="40"/>
                          <w:sz w:val="22"/>
                          <w:szCs w:val="22"/>
                        </w:rPr>
                        <w:t>NIST issued awards to Manufacturing Extension Partnership (MEP) centers for COVID-19-related projects. The first authorized usage of funds is going towards Return to Work Readiness Assessments. Additional fund phases will support the operational needs of manufactures related to COVID-19 Recovery.</w:t>
                      </w:r>
                    </w:p>
                    <w:p w14:paraId="75ABFAEE" w14:textId="77777777" w:rsidR="006A24E1" w:rsidRPr="006A24E1" w:rsidRDefault="006A24E1" w:rsidP="006A24E1">
                      <w:pPr>
                        <w:pStyle w:val="Heading3"/>
                        <w:spacing w:before="0" w:beforeAutospacing="0" w:after="0" w:afterAutospacing="0"/>
                        <w:rPr>
                          <w:rFonts w:ascii="IBM Plex Sans" w:hAnsi="IBM Plex Sans" w:cs="Arial"/>
                          <w:b w:val="0"/>
                          <w:bCs w:val="0"/>
                          <w:color w:val="3B3838" w:themeColor="background2" w:themeShade="40"/>
                          <w:sz w:val="22"/>
                          <w:szCs w:val="22"/>
                        </w:rPr>
                      </w:pPr>
                    </w:p>
                    <w:p w14:paraId="0E7B7406" w14:textId="2EB11573" w:rsidR="006A24E1" w:rsidRPr="006A24E1" w:rsidRDefault="006A24E1" w:rsidP="006A24E1">
                      <w:pPr>
                        <w:pStyle w:val="NormalWeb"/>
                        <w:spacing w:before="0" w:beforeAutospacing="0" w:after="0" w:afterAutospacing="0"/>
                        <w:rPr>
                          <w:rFonts w:ascii="IBM Plex Sans" w:hAnsi="IBM Plex Sans" w:cs="Arial"/>
                          <w:color w:val="3B3838" w:themeColor="background2" w:themeShade="40"/>
                          <w:sz w:val="22"/>
                          <w:szCs w:val="22"/>
                        </w:rPr>
                      </w:pPr>
                      <w:r w:rsidRPr="006A24E1">
                        <w:rPr>
                          <w:rFonts w:ascii="IBM Plex Sans" w:hAnsi="IBM Plex Sans" w:cs="Arial"/>
                          <w:color w:val="3B3838" w:themeColor="background2" w:themeShade="40"/>
                          <w:sz w:val="22"/>
                          <w:szCs w:val="22"/>
                        </w:rPr>
                        <w:t>The Assessment includes a</w:t>
                      </w:r>
                      <w:r>
                        <w:rPr>
                          <w:rFonts w:ascii="IBM Plex Sans" w:hAnsi="IBM Plex Sans" w:cs="Arial"/>
                          <w:color w:val="3B3838" w:themeColor="background2" w:themeShade="40"/>
                          <w:sz w:val="22"/>
                          <w:szCs w:val="22"/>
                        </w:rPr>
                        <w:t xml:space="preserve"> full-day</w:t>
                      </w:r>
                      <w:r w:rsidRPr="006A24E1">
                        <w:rPr>
                          <w:rFonts w:ascii="IBM Plex Sans" w:hAnsi="IBM Plex Sans" w:cs="Arial"/>
                          <w:color w:val="3B3838" w:themeColor="background2" w:themeShade="40"/>
                          <w:sz w:val="22"/>
                          <w:szCs w:val="22"/>
                        </w:rPr>
                        <w:t xml:space="preserve"> virtual site visit with an Impact Washington consultant followed quickly by a thoughtful implementation plan and debrief to ensure a smooth restart of your business as soon as possible. The completed assessment will summarize, and document individual risk levels found within each facility and provide recommendations for specific workplace controls. In manufacturing environments, the potential for close contact can occur on or near production lines, receiving and packaging areas, sampling and quality rooms, and in common facility areas such as conference rooms, lunchrooms, locker rooms, restrooms, hallways, and entryways.</w:t>
                      </w:r>
                    </w:p>
                    <w:p w14:paraId="311EC78C" w14:textId="77777777" w:rsidR="006A24E1" w:rsidRPr="006A24E1" w:rsidRDefault="006A24E1" w:rsidP="006A24E1">
                      <w:pPr>
                        <w:pStyle w:val="NormalWeb"/>
                        <w:spacing w:before="0" w:beforeAutospacing="0" w:after="0" w:afterAutospacing="0"/>
                        <w:rPr>
                          <w:rFonts w:ascii="IBM Plex Sans" w:hAnsi="IBM Plex Sans" w:cs="Arial"/>
                          <w:color w:val="3B3838" w:themeColor="background2" w:themeShade="40"/>
                          <w:sz w:val="22"/>
                          <w:szCs w:val="22"/>
                        </w:rPr>
                      </w:pPr>
                    </w:p>
                    <w:p w14:paraId="04DA16A3" w14:textId="77777777" w:rsidR="006A24E1" w:rsidRPr="006A24E1" w:rsidRDefault="006A24E1" w:rsidP="006A24E1">
                      <w:pPr>
                        <w:pStyle w:val="NormalWeb"/>
                        <w:spacing w:before="0" w:beforeAutospacing="0" w:after="0" w:afterAutospacing="0"/>
                        <w:rPr>
                          <w:rFonts w:ascii="IBM Plex Sans" w:hAnsi="IBM Plex Sans" w:cs="Arial"/>
                          <w:color w:val="3B3838" w:themeColor="background2" w:themeShade="40"/>
                          <w:sz w:val="22"/>
                          <w:szCs w:val="22"/>
                        </w:rPr>
                      </w:pPr>
                      <w:r w:rsidRPr="006A24E1">
                        <w:rPr>
                          <w:rFonts w:ascii="IBM Plex Sans" w:hAnsi="IBM Plex Sans" w:cs="Arial"/>
                          <w:color w:val="3B3838" w:themeColor="background2" w:themeShade="40"/>
                          <w:sz w:val="22"/>
                          <w:szCs w:val="22"/>
                        </w:rPr>
                        <w:t>Get your facility on the schedule by contacting Impact Washington </w:t>
                      </w:r>
                      <w:hyperlink r:id="rId19" w:history="1">
                        <w:r w:rsidRPr="006A24E1">
                          <w:rPr>
                            <w:rStyle w:val="Hyperlink"/>
                            <w:rFonts w:ascii="IBM Plex Sans" w:hAnsi="IBM Plex Sans" w:cs="Arial"/>
                            <w:b/>
                            <w:bCs/>
                            <w:color w:val="346F87"/>
                            <w:sz w:val="22"/>
                            <w:szCs w:val="22"/>
                          </w:rPr>
                          <w:t>HERE</w:t>
                        </w:r>
                      </w:hyperlink>
                      <w:r w:rsidRPr="006A24E1">
                        <w:rPr>
                          <w:rFonts w:ascii="IBM Plex Sans" w:hAnsi="IBM Plex Sans" w:cs="Arial"/>
                          <w:b/>
                          <w:bCs/>
                          <w:color w:val="346F87"/>
                          <w:sz w:val="22"/>
                          <w:szCs w:val="22"/>
                        </w:rPr>
                        <w:t> </w:t>
                      </w:r>
                      <w:r w:rsidRPr="006A24E1">
                        <w:rPr>
                          <w:rFonts w:ascii="IBM Plex Sans" w:hAnsi="IBM Plex Sans" w:cs="Arial"/>
                          <w:color w:val="3B3838" w:themeColor="background2" w:themeShade="40"/>
                          <w:sz w:val="22"/>
                          <w:szCs w:val="22"/>
                        </w:rPr>
                        <w:t>or call 425-438-1146.</w:t>
                      </w:r>
                    </w:p>
                    <w:p w14:paraId="3DA31759" w14:textId="77777777" w:rsidR="006A24E1" w:rsidRPr="006A24E1" w:rsidRDefault="006A24E1" w:rsidP="006A24E1">
                      <w:pPr>
                        <w:pStyle w:val="NormalWeb"/>
                        <w:spacing w:before="0" w:beforeAutospacing="0" w:after="0" w:afterAutospacing="0"/>
                        <w:rPr>
                          <w:rFonts w:ascii="IBM Plex Sans" w:hAnsi="IBM Plex Sans" w:cs="Arial"/>
                          <w:color w:val="323232"/>
                          <w:sz w:val="22"/>
                          <w:szCs w:val="22"/>
                        </w:rPr>
                      </w:pPr>
                      <w:r w:rsidRPr="006A24E1">
                        <w:rPr>
                          <w:rFonts w:ascii="IBM Plex Sans" w:hAnsi="IBM Plex Sans" w:cs="Arial"/>
                          <w:color w:val="3B3838" w:themeColor="background2" w:themeShade="40"/>
                          <w:sz w:val="22"/>
                          <w:szCs w:val="22"/>
                        </w:rPr>
                        <w:t>View the  </w:t>
                      </w:r>
                      <w:hyperlink r:id="rId20" w:history="1">
                        <w:r w:rsidRPr="006A24E1">
                          <w:rPr>
                            <w:rStyle w:val="Hyperlink"/>
                            <w:rFonts w:ascii="IBM Plex Sans" w:hAnsi="IBM Plex Sans" w:cs="Arial"/>
                            <w:color w:val="346F87"/>
                            <w:sz w:val="22"/>
                            <w:szCs w:val="22"/>
                          </w:rPr>
                          <w:t>COVID-19 Business Recovery Call Schedule</w:t>
                        </w:r>
                      </w:hyperlink>
                      <w:r w:rsidRPr="006A24E1">
                        <w:rPr>
                          <w:rFonts w:ascii="IBM Plex Sans" w:hAnsi="IBM Plex Sans" w:cs="Arial"/>
                          <w:color w:val="346F87"/>
                          <w:sz w:val="22"/>
                          <w:szCs w:val="22"/>
                        </w:rPr>
                        <w:t> </w:t>
                      </w:r>
                      <w:r w:rsidRPr="006A24E1">
                        <w:rPr>
                          <w:rFonts w:ascii="IBM Plex Sans" w:hAnsi="IBM Plex Sans" w:cs="Arial"/>
                          <w:color w:val="3B3838" w:themeColor="background2" w:themeShade="40"/>
                          <w:sz w:val="22"/>
                          <w:szCs w:val="22"/>
                        </w:rPr>
                        <w:t xml:space="preserve">to learn about a Return to Work Webinar in your area </w:t>
                      </w:r>
                      <w:r w:rsidRPr="006A24E1">
                        <w:rPr>
                          <w:rFonts w:ascii="IBM Plex Sans" w:hAnsi="IBM Plex Sans" w:cs="Arial"/>
                          <w:color w:val="323232"/>
                          <w:sz w:val="22"/>
                          <w:szCs w:val="22"/>
                        </w:rPr>
                        <w:t>or listen to previous recorded </w:t>
                      </w:r>
                      <w:hyperlink r:id="rId21" w:history="1">
                        <w:r w:rsidRPr="006A24E1">
                          <w:rPr>
                            <w:rStyle w:val="Hyperlink"/>
                            <w:rFonts w:ascii="IBM Plex Sans" w:hAnsi="IBM Plex Sans" w:cs="Arial"/>
                            <w:color w:val="004A82"/>
                            <w:sz w:val="22"/>
                            <w:szCs w:val="22"/>
                          </w:rPr>
                          <w:t>Webinars </w:t>
                        </w:r>
                      </w:hyperlink>
                    </w:p>
                    <w:p w14:paraId="34C38AA6" w14:textId="77777777" w:rsidR="006A24E1" w:rsidRPr="00506ACA" w:rsidRDefault="006A24E1" w:rsidP="006A24E1">
                      <w:pPr>
                        <w:pStyle w:val="NormalWeb"/>
                        <w:spacing w:before="0" w:beforeAutospacing="0" w:after="0" w:afterAutospacing="0"/>
                        <w:rPr>
                          <w:rFonts w:ascii="IBM Plex Sans" w:hAnsi="IBM Plex Sans" w:cs="Arial"/>
                          <w:color w:val="323232"/>
                          <w:sz w:val="22"/>
                          <w:szCs w:val="22"/>
                        </w:rPr>
                      </w:pPr>
                    </w:p>
                    <w:p w14:paraId="44D38B3B" w14:textId="77777777" w:rsidR="006A24E1" w:rsidRPr="00506ACA" w:rsidRDefault="006A24E1" w:rsidP="006A24E1">
                      <w:pPr>
                        <w:rPr>
                          <w:rFonts w:ascii="IBM Plex Sans" w:hAnsi="IBM Plex Sans"/>
                          <w:color w:val="404040" w:themeColor="text1" w:themeTint="BF"/>
                          <w:sz w:val="22"/>
                          <w:szCs w:val="22"/>
                        </w:rPr>
                      </w:pPr>
                    </w:p>
                    <w:p w14:paraId="3746F511" w14:textId="2B6215F3" w:rsidR="006A24E1" w:rsidRPr="006A24E1" w:rsidRDefault="006A24E1" w:rsidP="006A24E1">
                      <w:pPr>
                        <w:rPr>
                          <w:rFonts w:ascii="IBM Plex Sans" w:hAnsi="IBM Plex Sans"/>
                          <w:b/>
                          <w:bCs/>
                          <w:color w:val="3B3838" w:themeColor="background2" w:themeShade="40"/>
                          <w:sz w:val="20"/>
                          <w:szCs w:val="20"/>
                        </w:rPr>
                      </w:pPr>
                    </w:p>
                  </w:txbxContent>
                </v:textbox>
              </v:shape>
            </w:pict>
          </mc:Fallback>
        </mc:AlternateContent>
      </w:r>
      <w:r w:rsidR="000E79F5">
        <w:rPr>
          <w:noProof/>
        </w:rPr>
        <mc:AlternateContent>
          <mc:Choice Requires="wps">
            <w:drawing>
              <wp:anchor distT="0" distB="0" distL="114300" distR="114300" simplePos="0" relativeHeight="251660288" behindDoc="0" locked="0" layoutInCell="1" allowOverlap="1" wp14:anchorId="4CB16E4E" wp14:editId="02A5E5C3">
                <wp:simplePos x="0" y="0"/>
                <wp:positionH relativeFrom="column">
                  <wp:posOffset>-679137</wp:posOffset>
                </wp:positionH>
                <wp:positionV relativeFrom="paragraph">
                  <wp:posOffset>1816</wp:posOffset>
                </wp:positionV>
                <wp:extent cx="5740400" cy="45847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40400" cy="458470"/>
                        </a:xfrm>
                        <a:prstGeom prst="rect">
                          <a:avLst/>
                        </a:prstGeom>
                        <a:noFill/>
                        <a:ln w="6350">
                          <a:noFill/>
                        </a:ln>
                      </wps:spPr>
                      <wps:txbx>
                        <w:txbxContent>
                          <w:p w14:paraId="1A83F085" w14:textId="5CA415A8" w:rsidR="000E79F5" w:rsidRPr="000E79F5" w:rsidRDefault="006A24E1">
                            <w:pPr>
                              <w:rPr>
                                <w:rFonts w:ascii="Atrament SemiBold" w:hAnsi="Atrament SemiBold"/>
                                <w:b/>
                                <w:bCs/>
                                <w:color w:val="FFFFFF" w:themeColor="light1"/>
                                <w:sz w:val="44"/>
                                <w:szCs w:val="44"/>
                              </w:rPr>
                            </w:pPr>
                            <w:r>
                              <w:rPr>
                                <w:rFonts w:ascii="Atrament SemiBold" w:hAnsi="Atrament SemiBold"/>
                                <w:b/>
                                <w:bCs/>
                                <w:color w:val="FFFFFF" w:themeColor="light1"/>
                                <w:sz w:val="44"/>
                                <w:szCs w:val="44"/>
                              </w:rPr>
                              <w:t>Phase 2 No-Cost Readiness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B16E4E" id="Text Box 4" o:spid="_x0000_s1027" type="#_x0000_t202" style="position:absolute;margin-left:-53.5pt;margin-top:.15pt;width:452pt;height:36.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" filled="f" stroked="f" strokeweight=".5pt">
                <v:textbox>
                  <w:txbxContent>
                    <w:p w14:paraId="1A83F085" w14:textId="5CA415A8" w:rsidR="000E79F5" w:rsidRPr="000E79F5" w:rsidRDefault="006A24E1">
                      <w:pPr>
                        <w:rPr>
                          <w:rFonts w:ascii="Atrament SemiBold" w:hAnsi="Atrament SemiBold"/>
                          <w:b/>
                          <w:bCs/>
                          <w:color w:val="FFFFFF" w:themeColor="light1"/>
                          <w:sz w:val="44"/>
                          <w:szCs w:val="44"/>
                        </w:rPr>
                      </w:pPr>
                      <w:r>
                        <w:rPr>
                          <w:rFonts w:ascii="Atrament SemiBold" w:hAnsi="Atrament SemiBold"/>
                          <w:b/>
                          <w:bCs/>
                          <w:color w:val="FFFFFF" w:themeColor="light1"/>
                          <w:sz w:val="44"/>
                          <w:szCs w:val="44"/>
                        </w:rPr>
                        <w:t>Phase 2 No-Cost Readiness Assessments</w:t>
                      </w:r>
                    </w:p>
                  </w:txbxContent>
                </v:textbox>
              </v:shape>
            </w:pict>
          </mc:Fallback>
        </mc:AlternateContent>
      </w:r>
      <w:r w:rsidR="000E79F5">
        <w:rPr>
          <w:noProof/>
        </w:rPr>
        <mc:AlternateContent>
          <mc:Choice Requires="wps">
            <w:drawing>
              <wp:anchor distT="0" distB="0" distL="114300" distR="114300" simplePos="0" relativeHeight="251659264" behindDoc="0" locked="0" layoutInCell="1" allowOverlap="1" wp14:anchorId="60CAFB53" wp14:editId="661897B6">
                <wp:simplePos x="0" y="0"/>
                <wp:positionH relativeFrom="column">
                  <wp:posOffset>-914400</wp:posOffset>
                </wp:positionH>
                <wp:positionV relativeFrom="paragraph">
                  <wp:posOffset>-17145</wp:posOffset>
                </wp:positionV>
                <wp:extent cx="7797800" cy="476885"/>
                <wp:effectExtent l="0" t="0" r="0" b="5715"/>
                <wp:wrapNone/>
                <wp:docPr id="3" name="Rectangle 3"/>
                <wp:cNvGraphicFramePr/>
                <a:graphic xmlns:a="http://schemas.openxmlformats.org/drawingml/2006/main">
                  <a:graphicData uri="http://schemas.microsoft.com/office/word/2010/wordprocessingShape">
                    <wps:wsp>
                      <wps:cNvSpPr/>
                      <wps:spPr>
                        <a:xfrm>
                          <a:off x="0" y="0"/>
                          <a:ext cx="7797800" cy="476885"/>
                        </a:xfrm>
                        <a:prstGeom prst="rect">
                          <a:avLst/>
                        </a:prstGeom>
                        <a:solidFill>
                          <a:srgbClr val="4D4D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8525C12" id="Rectangle 3" o:spid="_x0000_s1026" style="position:absolute;margin-left:-1in;margin-top:-1.35pt;width:614pt;height:3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" fillcolor="#4d4d4d" stroked="f" strokeweight="1pt"/>
            </w:pict>
          </mc:Fallback>
        </mc:AlternateContent>
      </w:r>
      <w:r w:rsidR="000E79F5">
        <w:t>TITL</w:t>
      </w:r>
      <w:r>
        <w:t>gfgbdsdfgfdsgdfgasdfsdfsgdafdsafdffgdafasdfdsafdsdfsgsfgfsdgfdsgs</w:t>
      </w:r>
      <w:r w:rsidR="000E79F5">
        <w:t>E GOES HERE</w:t>
      </w:r>
      <w:r>
        <w:t>May</w:t>
      </w:r>
    </w:p>
    <w:sectPr w:rsidR="0037299A" w:rsidSect="000E79F5">
      <w:headerReference w:type="default" r:id="rId22"/>
      <w:footerReference w:type="default" r:id="rId23"/>
      <w:pgSz w:w="12240" w:h="15840"/>
      <w:pgMar w:top="1440" w:right="1440" w:bottom="1440" w:left="1440" w:header="27" w:footer="7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3F1F3" w14:textId="77777777" w:rsidR="009B062F" w:rsidRDefault="009B062F" w:rsidP="000E79F5">
      <w:r>
        <w:separator/>
      </w:r>
    </w:p>
  </w:endnote>
  <w:endnote w:type="continuationSeparator" w:id="0">
    <w:p w14:paraId="16EA8A3F" w14:textId="77777777" w:rsidR="009B062F" w:rsidRDefault="009B062F" w:rsidP="000E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IBM Plex Sans">
    <w:altName w:val="Calibri"/>
    <w:panose1 w:val="00000000000000000000"/>
    <w:charset w:val="4D"/>
    <w:family w:val="swiss"/>
    <w:notTrueType/>
    <w:pitch w:val="variable"/>
    <w:sig w:usb0="A000006F" w:usb1="5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Atrament">
    <w:altName w:val="Calibri"/>
    <w:panose1 w:val="00000000000000000000"/>
    <w:charset w:val="4D"/>
    <w:family w:val="auto"/>
    <w:notTrueType/>
    <w:pitch w:val="variable"/>
    <w:sig w:usb0="A00000AF" w:usb1="5000205A" w:usb2="00000000" w:usb3="00000000" w:csb0="00000193" w:csb1="00000000"/>
  </w:font>
  <w:font w:name="Atrament SemiBold">
    <w:altName w:val="Calibri"/>
    <w:panose1 w:val="00000000000000000000"/>
    <w:charset w:val="4D"/>
    <w:family w:val="auto"/>
    <w:notTrueType/>
    <w:pitch w:val="variable"/>
    <w:sig w:usb0="A00000AF" w:usb1="5000205A" w:usb2="00000000" w:usb3="00000000" w:csb0="00000193" w:csb1="00000000"/>
  </w:font>
  <w:font w:name="IBM Plex Sans Thin">
    <w:altName w:val="Calibri"/>
    <w:charset w:val="4D"/>
    <w:family w:val="swiss"/>
    <w:pitch w:val="variable"/>
    <w:sig w:usb0="A000026F" w:usb1="5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CEB9" w14:textId="3DEEDBB3" w:rsidR="000E79F5" w:rsidRDefault="000E79F5">
    <w:pPr>
      <w:pStyle w:val="Footer"/>
    </w:pPr>
    <w:r>
      <w:rPr>
        <w:noProof/>
      </w:rPr>
      <mc:AlternateContent>
        <mc:Choice Requires="wps">
          <w:drawing>
            <wp:anchor distT="0" distB="0" distL="114300" distR="114300" simplePos="0" relativeHeight="251660288" behindDoc="0" locked="0" layoutInCell="1" allowOverlap="1" wp14:anchorId="2670DE53" wp14:editId="31B394B8">
              <wp:simplePos x="0" y="0"/>
              <wp:positionH relativeFrom="column">
                <wp:posOffset>-762000</wp:posOffset>
              </wp:positionH>
              <wp:positionV relativeFrom="paragraph">
                <wp:posOffset>173355</wp:posOffset>
              </wp:positionV>
              <wp:extent cx="4025900" cy="317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25900" cy="317500"/>
                      </a:xfrm>
                      <a:prstGeom prst="rect">
                        <a:avLst/>
                      </a:prstGeom>
                      <a:noFill/>
                      <a:ln w="6350">
                        <a:noFill/>
                      </a:ln>
                    </wps:spPr>
                    <wps:txbx>
                      <w:txbxContent>
                        <w:p w14:paraId="2D846A9B" w14:textId="4CB19573" w:rsidR="000E79F5" w:rsidRPr="000E79F5" w:rsidRDefault="000E79F5" w:rsidP="000E79F5">
                          <w:pPr>
                            <w:pStyle w:val="BasicParagraph"/>
                            <w:suppressAutoHyphens/>
                            <w:rPr>
                              <w:rFonts w:ascii="IBM Plex Sans Thin" w:hAnsi="IBM Plex Sans Thin" w:cs="IBM Plex Sans Thin"/>
                              <w:color w:val="4C4C4C"/>
                              <w:spacing w:val="-2"/>
                              <w:sz w:val="18"/>
                              <w:szCs w:val="18"/>
                            </w:rPr>
                          </w:pPr>
                          <w:r w:rsidRPr="000E79F5">
                            <w:rPr>
                              <w:rFonts w:ascii="IBM Plex Sans Thin" w:hAnsi="IBM Plex Sans Thin" w:cs="IBM Plex Sans Thin"/>
                              <w:color w:val="4C4C4C"/>
                              <w:spacing w:val="-2"/>
                              <w:sz w:val="18"/>
                              <w:szCs w:val="18"/>
                            </w:rPr>
                            <w:t>@2020, Impact Washington. All rights reserved.</w:t>
                          </w:r>
                        </w:p>
                        <w:p w14:paraId="7F993B1D" w14:textId="77777777" w:rsidR="000E79F5" w:rsidRDefault="000E7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0DE53" id="_x0000_t202" coordsize="21600,21600" o:spt="202" path="m,l,21600r21600,l21600,xe">
              <v:stroke joinstyle="miter"/>
              <v:path gradientshapeok="t" o:connecttype="rect"/>
            </v:shapetype>
            <v:shape id="Text Box 6" o:spid="_x0000_s1028" type="#_x0000_t202" style="position:absolute;margin-left:-60pt;margin-top:13.65pt;width:317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" filled="f" stroked="f" strokeweight=".5pt">
              <v:textbox>
                <w:txbxContent>
                  <w:p w14:paraId="2D846A9B" w14:textId="4CB19573" w:rsidR="000E79F5" w:rsidRPr="000E79F5" w:rsidRDefault="000E79F5" w:rsidP="000E79F5">
                    <w:pPr>
                      <w:pStyle w:val="BasicParagraph"/>
                      <w:suppressAutoHyphens/>
                      <w:rPr>
                        <w:rFonts w:ascii="IBM Plex Sans Thin" w:hAnsi="IBM Plex Sans Thin" w:cs="IBM Plex Sans Thin"/>
                        <w:color w:val="4C4C4C"/>
                        <w:spacing w:val="-2"/>
                        <w:sz w:val="18"/>
                        <w:szCs w:val="18"/>
                      </w:rPr>
                    </w:pPr>
                    <w:r w:rsidRPr="000E79F5">
                      <w:rPr>
                        <w:rFonts w:ascii="IBM Plex Sans Thin" w:hAnsi="IBM Plex Sans Thin" w:cs="IBM Plex Sans Thin"/>
                        <w:color w:val="4C4C4C"/>
                        <w:spacing w:val="-2"/>
                        <w:sz w:val="18"/>
                        <w:szCs w:val="18"/>
                      </w:rPr>
                      <w:t>@2020, Impact Washington. All rights reserved.</w:t>
                    </w:r>
                  </w:p>
                  <w:p w14:paraId="7F993B1D" w14:textId="77777777" w:rsidR="000E79F5" w:rsidRDefault="000E79F5"/>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3CD4DC4" wp14:editId="1628AE4E">
              <wp:simplePos x="0" y="0"/>
              <wp:positionH relativeFrom="column">
                <wp:posOffset>-990600</wp:posOffset>
              </wp:positionH>
              <wp:positionV relativeFrom="paragraph">
                <wp:posOffset>389255</wp:posOffset>
              </wp:positionV>
              <wp:extent cx="7886700" cy="127000"/>
              <wp:effectExtent l="0" t="0" r="0" b="0"/>
              <wp:wrapNone/>
              <wp:docPr id="5" name="Rectangle 5"/>
              <wp:cNvGraphicFramePr/>
              <a:graphic xmlns:a="http://schemas.openxmlformats.org/drawingml/2006/main">
                <a:graphicData uri="http://schemas.microsoft.com/office/word/2010/wordprocessingShape">
                  <wps:wsp>
                    <wps:cNvSpPr/>
                    <wps:spPr>
                      <a:xfrm>
                        <a:off x="0" y="0"/>
                        <a:ext cx="7886700" cy="127000"/>
                      </a:xfrm>
                      <a:prstGeom prst="rect">
                        <a:avLst/>
                      </a:prstGeom>
                      <a:solidFill>
                        <a:srgbClr val="4D4D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F74488B" id="Rectangle 5" o:spid="_x0000_s1026" style="position:absolute;margin-left:-78pt;margin-top:30.65pt;width:621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" fillcolor="#4d4d4d"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18F8B" w14:textId="77777777" w:rsidR="009B062F" w:rsidRDefault="009B062F" w:rsidP="000E79F5">
      <w:r>
        <w:separator/>
      </w:r>
    </w:p>
  </w:footnote>
  <w:footnote w:type="continuationSeparator" w:id="0">
    <w:p w14:paraId="469CC94E" w14:textId="77777777" w:rsidR="009B062F" w:rsidRDefault="009B062F" w:rsidP="000E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040E" w14:textId="77777777" w:rsidR="000E79F5" w:rsidRDefault="000E79F5" w:rsidP="000E79F5">
    <w:pPr>
      <w:pStyle w:val="Header"/>
      <w:ind w:left="-1440"/>
    </w:pPr>
    <w:r>
      <w:rPr>
        <w:noProof/>
      </w:rPr>
      <w:drawing>
        <wp:inline distT="0" distB="0" distL="0" distR="0" wp14:anchorId="17CE244E" wp14:editId="5A53782F">
          <wp:extent cx="9010473" cy="932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ID HEADER_1.png"/>
                  <pic:cNvPicPr/>
                </pic:nvPicPr>
                <pic:blipFill>
                  <a:blip r:embed="rId1">
                    <a:extLst>
                      <a:ext uri="{28A0092B-C50C-407E-A947-70E740481C1C}">
                        <a14:useLocalDpi xmlns:a14="http://schemas.microsoft.com/office/drawing/2010/main" val="0"/>
                      </a:ext>
                    </a:extLst>
                  </a:blip>
                  <a:stretch>
                    <a:fillRect/>
                  </a:stretch>
                </pic:blipFill>
                <pic:spPr>
                  <a:xfrm>
                    <a:off x="0" y="0"/>
                    <a:ext cx="9020811" cy="9338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F5"/>
    <w:rsid w:val="000C707A"/>
    <w:rsid w:val="000E79F5"/>
    <w:rsid w:val="001B7BEB"/>
    <w:rsid w:val="0037299A"/>
    <w:rsid w:val="006A24E1"/>
    <w:rsid w:val="00852DD7"/>
    <w:rsid w:val="008A4214"/>
    <w:rsid w:val="009B062F"/>
    <w:rsid w:val="00E2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69796"/>
  <w15:chartTrackingRefBased/>
  <w15:docId w15:val="{6B14E952-DEB9-D647-B16A-0127E40B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24E1"/>
  </w:style>
  <w:style w:type="paragraph" w:styleId="Heading3">
    <w:name w:val="heading 3"/>
    <w:basedOn w:val="Normal"/>
    <w:link w:val="Heading3Char"/>
    <w:uiPriority w:val="9"/>
    <w:qFormat/>
    <w:rsid w:val="006A24E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9F5"/>
    <w:pPr>
      <w:tabs>
        <w:tab w:val="center" w:pos="4680"/>
        <w:tab w:val="right" w:pos="9360"/>
      </w:tabs>
    </w:pPr>
  </w:style>
  <w:style w:type="character" w:customStyle="1" w:styleId="HeaderChar">
    <w:name w:val="Header Char"/>
    <w:basedOn w:val="DefaultParagraphFont"/>
    <w:link w:val="Header"/>
    <w:uiPriority w:val="99"/>
    <w:rsid w:val="000E79F5"/>
  </w:style>
  <w:style w:type="paragraph" w:styleId="Footer">
    <w:name w:val="footer"/>
    <w:basedOn w:val="Normal"/>
    <w:link w:val="FooterChar"/>
    <w:uiPriority w:val="99"/>
    <w:unhideWhenUsed/>
    <w:rsid w:val="000E79F5"/>
    <w:pPr>
      <w:tabs>
        <w:tab w:val="center" w:pos="4680"/>
        <w:tab w:val="right" w:pos="9360"/>
      </w:tabs>
    </w:pPr>
  </w:style>
  <w:style w:type="character" w:customStyle="1" w:styleId="FooterChar">
    <w:name w:val="Footer Char"/>
    <w:basedOn w:val="DefaultParagraphFont"/>
    <w:link w:val="Footer"/>
    <w:uiPriority w:val="99"/>
    <w:rsid w:val="000E79F5"/>
  </w:style>
  <w:style w:type="paragraph" w:customStyle="1" w:styleId="BasicParagraph">
    <w:name w:val="[Basic Paragraph]"/>
    <w:basedOn w:val="Normal"/>
    <w:uiPriority w:val="99"/>
    <w:rsid w:val="000E79F5"/>
    <w:pPr>
      <w:autoSpaceDE w:val="0"/>
      <w:autoSpaceDN w:val="0"/>
      <w:adjustRightInd w:val="0"/>
      <w:spacing w:line="288" w:lineRule="auto"/>
      <w:textAlignment w:val="center"/>
    </w:pPr>
    <w:rPr>
      <w:rFonts w:ascii="Minion Pro" w:hAnsi="Minion Pro" w:cs="Minion Pro"/>
      <w:color w:val="000000"/>
    </w:rPr>
  </w:style>
  <w:style w:type="character" w:customStyle="1" w:styleId="Heading3Char">
    <w:name w:val="Heading 3 Char"/>
    <w:basedOn w:val="DefaultParagraphFont"/>
    <w:link w:val="Heading3"/>
    <w:uiPriority w:val="9"/>
    <w:rsid w:val="006A24E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A24E1"/>
    <w:rPr>
      <w:color w:val="0000FF"/>
      <w:u w:val="single"/>
    </w:rPr>
  </w:style>
  <w:style w:type="paragraph" w:styleId="NormalWeb">
    <w:name w:val="Normal (Web)"/>
    <w:basedOn w:val="Normal"/>
    <w:uiPriority w:val="99"/>
    <w:semiHidden/>
    <w:unhideWhenUsed/>
    <w:rsid w:val="006A24E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A24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h.wa.gov/Coronavirus/workplace" TargetMode="External"/><Relationship Id="rId13" Type="http://schemas.openxmlformats.org/officeDocument/2006/relationships/hyperlink" Target="https://www.impactwashington.org/preventive-return-to-work-measures-for-manufacturers-webinars.aspx" TargetMode="External"/><Relationship Id="rId18" Type="http://schemas.openxmlformats.org/officeDocument/2006/relationships/hyperlink" Target="https://www.congress.gov/116/bills/hr748/BILLS-116hr748enr.pdf" TargetMode="External"/><Relationship Id="rId3" Type="http://schemas.openxmlformats.org/officeDocument/2006/relationships/webSettings" Target="webSettings.xml"/><Relationship Id="rId21" Type="http://schemas.openxmlformats.org/officeDocument/2006/relationships/hyperlink" Target="https://www.impactwashington.org/preventive-return-to-work-measures-for-manufacturers-webinars.aspx" TargetMode="External"/><Relationship Id="rId7" Type="http://schemas.openxmlformats.org/officeDocument/2006/relationships/hyperlink" Target="https://lni.wa.gov/forms-publications/F414-164-000.pdf" TargetMode="External"/><Relationship Id="rId12" Type="http://schemas.openxmlformats.org/officeDocument/2006/relationships/hyperlink" Target="https://www.impactwashington.org/covid-19-business-recovery.aspx" TargetMode="External"/><Relationship Id="rId17" Type="http://schemas.openxmlformats.org/officeDocument/2006/relationships/hyperlink" Target="https://www.impactwashington.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doh.wa.gov/Coronavirus/workplace" TargetMode="External"/><Relationship Id="rId20" Type="http://schemas.openxmlformats.org/officeDocument/2006/relationships/hyperlink" Target="https://www.impactwashington.org/covid-19-business-recovery.aspx" TargetMode="External"/><Relationship Id="rId1" Type="http://schemas.openxmlformats.org/officeDocument/2006/relationships/styles" Target="styles.xml"/><Relationship Id="rId6" Type="http://schemas.openxmlformats.org/officeDocument/2006/relationships/hyperlink" Target="https://www.governor.wa.gov/sites/default/files/Phase2ManufacturingGuidance.pdf" TargetMode="External"/><Relationship Id="rId11" Type="http://schemas.openxmlformats.org/officeDocument/2006/relationships/hyperlink" Target="https://www.impactwashington.org/contact-us.asp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ni.wa.gov/forms-publications/F414-164-000.pdf" TargetMode="External"/><Relationship Id="rId23" Type="http://schemas.openxmlformats.org/officeDocument/2006/relationships/footer" Target="footer1.xml"/><Relationship Id="rId10" Type="http://schemas.openxmlformats.org/officeDocument/2006/relationships/hyperlink" Target="https://www.congress.gov/116/bills/hr748/BILLS-116hr748enr.pdf" TargetMode="External"/><Relationship Id="rId19" Type="http://schemas.openxmlformats.org/officeDocument/2006/relationships/hyperlink" Target="https://www.impactwashington.org/contact-us.aspx" TargetMode="External"/><Relationship Id="rId4" Type="http://schemas.openxmlformats.org/officeDocument/2006/relationships/footnotes" Target="footnotes.xml"/><Relationship Id="rId9" Type="http://schemas.openxmlformats.org/officeDocument/2006/relationships/hyperlink" Target="https://www.impactwashington.org/" TargetMode="External"/><Relationship Id="rId14" Type="http://schemas.openxmlformats.org/officeDocument/2006/relationships/hyperlink" Target="https://www.governor.wa.gov/sites/default/files/Phase2ManufacturingGuidance.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McDonnell</dc:creator>
  <cp:keywords/>
  <dc:description/>
  <cp:lastModifiedBy>Wilmot, Michelle</cp:lastModifiedBy>
  <cp:revision>2</cp:revision>
  <dcterms:created xsi:type="dcterms:W3CDTF">2020-05-26T16:38:00Z</dcterms:created>
  <dcterms:modified xsi:type="dcterms:W3CDTF">2020-05-26T16:38:00Z</dcterms:modified>
</cp:coreProperties>
</file>